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Bookman Old Style" w:ascii="Bookman Old Style" w:hAnsi="Bookman Old Style"/>
          <w:b/>
          <w:bCs/>
          <w:i/>
          <w:iCs/>
          <w:sz w:val="40"/>
          <w:szCs w:val="40"/>
        </w:rPr>
        <w:t>Flc</w:t>
      </w:r>
      <w:r>
        <w:rPr>
          <w:rFonts w:cs="Verdana" w:ascii="Verdana" w:hAnsi="Verdana"/>
          <w:b/>
          <w:bCs/>
          <w:i/>
          <w:iCs/>
          <w:sz w:val="40"/>
          <w:szCs w:val="40"/>
        </w:rPr>
        <w:t xml:space="preserve">  CGIL  GORIZIA</w:t>
      </w:r>
    </w:p>
    <w:p>
      <w:pPr>
        <w:pStyle w:val="Normal"/>
        <w:jc w:val="center"/>
        <w:rPr/>
      </w:pPr>
      <w:r>
        <w:rPr>
          <w:rFonts w:cs="Comic Sans MS" w:ascii="Comic Sans MS" w:hAnsi="Comic Sans MS"/>
          <w:b/>
          <w:bCs/>
          <w:i/>
          <w:iCs/>
          <w:sz w:val="16"/>
          <w:szCs w:val="16"/>
        </w:rPr>
        <w:t>V</w:t>
      </w:r>
      <w:r>
        <w:rPr>
          <w:rFonts w:cs="Comic Sans MS" w:ascii="Comic Sans MS" w:hAnsi="Comic Sans MS"/>
          <w:i/>
          <w:iCs/>
          <w:sz w:val="16"/>
          <w:szCs w:val="16"/>
        </w:rPr>
        <w:t xml:space="preserve">ia Canova, 1 </w:t>
      </w:r>
      <w:r>
        <w:rPr>
          <w:i/>
          <w:iCs/>
          <w:sz w:val="16"/>
          <w:szCs w:val="16"/>
        </w:rPr>
        <w:t xml:space="preserve">– </w:t>
      </w:r>
      <w:r>
        <w:rPr>
          <w:rFonts w:cs="Comic Sans MS" w:ascii="Comic Sans MS" w:hAnsi="Comic Sans MS"/>
          <w:i/>
          <w:iCs/>
          <w:sz w:val="16"/>
          <w:szCs w:val="16"/>
        </w:rPr>
        <w:t>34170 Gorizia</w:t>
      </w:r>
    </w:p>
    <w:p>
      <w:pPr>
        <w:pStyle w:val="Normal"/>
        <w:jc w:val="center"/>
        <w:rPr>
          <w:rFonts w:ascii="Comic Sans MS" w:hAnsi="Comic Sans MS" w:cs="Comic Sans MS"/>
          <w:i/>
          <w:i/>
          <w:iCs/>
          <w:sz w:val="16"/>
          <w:szCs w:val="16"/>
          <w:lang w:val="it-IT" w:eastAsia="it-IT"/>
        </w:rPr>
      </w:pPr>
      <w:r>
        <w:rPr>
          <w:rFonts w:cs="Comic Sans MS" w:ascii="Comic Sans MS" w:hAnsi="Comic Sans MS"/>
          <w:i/>
          <w:iCs/>
          <w:sz w:val="16"/>
          <w:szCs w:val="16"/>
          <w:lang w:val="it-IT" w:eastAsia="it-IT"/>
        </w:rPr>
        <w:t>Via Pacinotti, 21 – 34074 Monfalcone</w:t>
      </w:r>
    </w:p>
    <w:p>
      <w:pPr>
        <w:pStyle w:val="Titolo1"/>
        <w:jc w:val="both"/>
        <w:rPr/>
      </w:pPr>
      <w:r>
        <w:rPr>
          <w:b w:val="false"/>
          <w:sz w:val="24"/>
          <w:szCs w:val="24"/>
        </w:rPr>
        <w:t xml:space="preserve">Monfalcone   8 dicembre  2018         </w:t>
      </w:r>
    </w:p>
    <w:p>
      <w:pPr>
        <w:pStyle w:val="Normal"/>
        <w:jc w:val="center"/>
        <w:rPr>
          <w:sz w:val="28"/>
          <w:szCs w:val="28"/>
        </w:rPr>
      </w:pPr>
      <w:r>
        <w:rPr>
          <w:sz w:val="28"/>
          <w:szCs w:val="28"/>
        </w:rPr>
        <w:t>Circolare n. 19 – 2018</w:t>
      </w:r>
    </w:p>
    <w:p>
      <w:pPr>
        <w:pStyle w:val="Normal"/>
        <w:rPr/>
      </w:pPr>
      <w:r>
        <w:rPr/>
      </w:r>
    </w:p>
    <w:p>
      <w:pPr>
        <w:pStyle w:val="Normal"/>
        <w:rPr/>
      </w:pPr>
      <w:r>
        <w:rPr/>
      </w:r>
    </w:p>
    <w:p>
      <w:pPr>
        <w:pStyle w:val="Normal"/>
        <w:jc w:val="both"/>
        <w:rPr>
          <w:b/>
          <w:b/>
          <w:bCs/>
          <w:sz w:val="36"/>
          <w:szCs w:val="36"/>
        </w:rPr>
      </w:pPr>
      <w:r>
        <w:rPr>
          <w:b/>
          <w:bCs/>
          <w:sz w:val="36"/>
          <w:szCs w:val="36"/>
        </w:rPr>
        <w:t>Scadenze 12 dicembre.</w:t>
      </w:r>
    </w:p>
    <w:p>
      <w:pPr>
        <w:pStyle w:val="Normal"/>
        <w:jc w:val="both"/>
        <w:rPr/>
      </w:pPr>
      <w:r>
        <w:rPr/>
      </w:r>
    </w:p>
    <w:p>
      <w:pPr>
        <w:pStyle w:val="Normal"/>
        <w:jc w:val="both"/>
        <w:rPr/>
      </w:pPr>
      <w:r>
        <w:rPr/>
        <w:t xml:space="preserve">Si ricorda che il 12 dicembre è l’ultimo giorno utile per: </w:t>
      </w:r>
    </w:p>
    <w:p>
      <w:pPr>
        <w:pStyle w:val="Normal"/>
        <w:jc w:val="both"/>
        <w:rPr/>
      </w:pPr>
      <w:r>
        <w:rPr/>
        <w:t>- Presentare domanda di partecipazione al concorso straordinario per scuola dell’infanzia e primaria</w:t>
      </w:r>
    </w:p>
    <w:p>
      <w:pPr>
        <w:pStyle w:val="Normal"/>
        <w:jc w:val="both"/>
        <w:rPr/>
      </w:pPr>
      <w:r>
        <w:rPr/>
        <w:t>- Presentare domanda di dimissioni dal servizio per chi ha i requisiti per la pensione.</w:t>
      </w:r>
    </w:p>
    <w:p>
      <w:pPr>
        <w:pStyle w:val="Normal"/>
        <w:jc w:val="both"/>
        <w:rPr/>
      </w:pPr>
      <w:r>
        <w:rPr/>
      </w:r>
    </w:p>
    <w:p>
      <w:pPr>
        <w:pStyle w:val="Titolo2"/>
        <w:jc w:val="both"/>
        <w:rPr/>
      </w:pPr>
      <w:r>
        <w:rPr/>
        <w:t xml:space="preserve">Chiusure scuole nelle giornate prefestive: recupero ore personale Ata. </w:t>
      </w:r>
    </w:p>
    <w:p>
      <w:pPr>
        <w:pStyle w:val="Corpodeltesto"/>
        <w:jc w:val="both"/>
        <w:rPr/>
      </w:pPr>
      <w:r>
        <w:rPr/>
        <w:t xml:space="preserve">Nei periodi di interruzione delle attività didattiche è possibile la chiusura della scuola nelle giornate prefestive nel rispetto dell’orario d’obbligo di servizio. </w:t>
      </w:r>
      <w:r>
        <w:rPr>
          <w:rStyle w:val="Enfasiforte"/>
          <w:b w:val="false"/>
          <w:bCs w:val="false"/>
        </w:rPr>
        <w:t>La chiusura prefestiva è disposta dal dirigente Scolastico</w:t>
      </w:r>
      <w:r>
        <w:rPr>
          <w:b w:val="false"/>
          <w:bCs w:val="false"/>
        </w:rPr>
        <w:t xml:space="preserve">, dopo la delibera del consiglio di istituto. </w:t>
      </w:r>
      <w:r>
        <w:rPr>
          <w:b/>
          <w:bCs/>
        </w:rPr>
        <w:t xml:space="preserve">esclusivamente quando vi sia il </w:t>
      </w:r>
      <w:r>
        <w:rPr>
          <w:rStyle w:val="Enfasiforte"/>
        </w:rPr>
        <w:t>consenso di almeno i 2/3 del personale A.T.A. coinvolto</w:t>
      </w:r>
      <w:r>
        <w:rPr/>
        <w:t>, compreso quello docente dichiarato inidoneo alla funzione per motivi di salute ed utilizzato nella scuola. In caso contrario, il Dirigente non disporrà alcuna chiusura prefestiva.  Il relativo provvedimento deve essere comunicato all’Ambito Territoriale di competenza e pubblicato all’albo della scuola.</w:t>
      </w:r>
    </w:p>
    <w:p>
      <w:pPr>
        <w:pStyle w:val="Corpodeltesto"/>
        <w:jc w:val="both"/>
        <w:rPr/>
      </w:pPr>
      <w:r>
        <w:rPr/>
        <w:t>Nel caso quindi, di chiusura dei prefestivi (</w:t>
      </w:r>
      <w:r>
        <w:rPr>
          <w:b/>
          <w:bCs/>
        </w:rPr>
        <w:t>deliberata dal consiglio d’istituto dopo giusta votazione del personale ATA, come sopra indicato</w:t>
      </w:r>
      <w:r>
        <w:rPr/>
        <w:t xml:space="preserve">) </w:t>
      </w:r>
      <w:r>
        <w:rPr>
          <w:rStyle w:val="Enfasiforte"/>
          <w:b w:val="false"/>
          <w:bCs w:val="false"/>
        </w:rPr>
        <w:t xml:space="preserve">al personale amministrativo-tecnico-ausiliario deve essere garantita la possibilità di </w:t>
      </w:r>
      <w:r>
        <w:rPr>
          <w:rStyle w:val="Enfasiforte"/>
        </w:rPr>
        <w:t>riscattare le giornate non lavorate.</w:t>
      </w:r>
    </w:p>
    <w:p>
      <w:pPr>
        <w:pStyle w:val="Corpodeltesto"/>
        <w:jc w:val="both"/>
        <w:rPr/>
      </w:pPr>
      <w:r>
        <w:rPr/>
        <w:t>Al personale ATA deve essere garantita la possibilità di giustificare queste ore non lavorate, attraverso:</w:t>
      </w:r>
    </w:p>
    <w:p>
      <w:pPr>
        <w:pStyle w:val="Corpodeltesto"/>
        <w:numPr>
          <w:ilvl w:val="0"/>
          <w:numId w:val="1"/>
        </w:numPr>
        <w:tabs>
          <w:tab w:val="left" w:pos="0" w:leader="none"/>
        </w:tabs>
        <w:spacing w:before="0" w:after="0"/>
        <w:ind w:left="707" w:hanging="283"/>
        <w:jc w:val="both"/>
        <w:rPr/>
      </w:pPr>
      <w:r>
        <w:rPr/>
        <w:t xml:space="preserve">L’effettuazione di un orario lavorativo di 7,12 ore in 5 giornate, nella settimana di chiusura; </w:t>
      </w:r>
    </w:p>
    <w:p>
      <w:pPr>
        <w:pStyle w:val="Corpodeltesto"/>
        <w:numPr>
          <w:ilvl w:val="0"/>
          <w:numId w:val="1"/>
        </w:numPr>
        <w:tabs>
          <w:tab w:val="left" w:pos="0" w:leader="none"/>
        </w:tabs>
        <w:spacing w:before="0" w:after="0"/>
        <w:ind w:left="707" w:hanging="283"/>
        <w:jc w:val="both"/>
        <w:rPr/>
      </w:pPr>
      <w:r>
        <w:rPr/>
        <w:t xml:space="preserve">Ore eccedenti (compensativo); </w:t>
      </w:r>
    </w:p>
    <w:p>
      <w:pPr>
        <w:pStyle w:val="Corpodeltesto"/>
        <w:numPr>
          <w:ilvl w:val="0"/>
          <w:numId w:val="1"/>
        </w:numPr>
        <w:tabs>
          <w:tab w:val="left" w:pos="0" w:leader="none"/>
        </w:tabs>
        <w:spacing w:before="0" w:after="0"/>
        <w:ind w:left="707" w:hanging="283"/>
        <w:jc w:val="both"/>
        <w:rPr/>
      </w:pPr>
      <w:r>
        <w:rPr/>
        <w:t xml:space="preserve">Festività soppresse; </w:t>
      </w:r>
    </w:p>
    <w:p>
      <w:pPr>
        <w:pStyle w:val="Corpodeltesto"/>
        <w:numPr>
          <w:ilvl w:val="0"/>
          <w:numId w:val="1"/>
        </w:numPr>
        <w:tabs>
          <w:tab w:val="left" w:pos="0" w:leader="none"/>
        </w:tabs>
        <w:spacing w:before="0" w:after="0"/>
        <w:ind w:left="707" w:hanging="283"/>
        <w:jc w:val="both"/>
        <w:rPr/>
      </w:pPr>
      <w:r>
        <w:rPr/>
        <w:t xml:space="preserve">Ferie; </w:t>
      </w:r>
    </w:p>
    <w:p>
      <w:pPr>
        <w:pStyle w:val="Corpodeltesto"/>
        <w:numPr>
          <w:ilvl w:val="0"/>
          <w:numId w:val="1"/>
        </w:numPr>
        <w:tabs>
          <w:tab w:val="left" w:pos="0" w:leader="none"/>
        </w:tabs>
        <w:ind w:left="707" w:hanging="283"/>
        <w:jc w:val="both"/>
        <w:rPr/>
      </w:pPr>
      <w:r>
        <w:rPr/>
        <w:t xml:space="preserve">Permessi retribuiti (per il personale a tempo Indeterminato) / Permessi non-retribuiti (per il personale a tempo Determinato). </w:t>
      </w:r>
    </w:p>
    <w:p>
      <w:pPr>
        <w:pStyle w:val="Corpodeltesto"/>
        <w:jc w:val="both"/>
        <w:rPr/>
      </w:pPr>
      <w:r>
        <w:rPr/>
        <w:t xml:space="preserve">Ricordiamo che in ogni caso </w:t>
      </w:r>
      <w:r>
        <w:rPr>
          <w:b/>
        </w:rPr>
        <w:t>NON PUÒ ESSERE IMPOSTO</w:t>
      </w:r>
      <w:r>
        <w:rPr/>
        <w:t xml:space="preserve"> il recupero mediante compensazione con le sole ferie.</w:t>
      </w:r>
    </w:p>
    <w:p>
      <w:pPr>
        <w:pStyle w:val="Titolo1"/>
        <w:jc w:val="both"/>
        <w:rPr>
          <w:rFonts w:ascii="Liberation Serif" w:hAnsi="Liberation Serif"/>
          <w:b/>
          <w:b/>
          <w:bCs/>
          <w:sz w:val="36"/>
          <w:szCs w:val="36"/>
        </w:rPr>
      </w:pPr>
      <w:r>
        <w:rPr>
          <w:rFonts w:ascii="Liberation Serif" w:hAnsi="Liberation Serif"/>
          <w:b/>
          <w:bCs/>
          <w:sz w:val="36"/>
          <w:szCs w:val="36"/>
        </w:rPr>
        <w:t>Concorso ordinario Direttori dei servizi generali e amministrativi: l’informativa del MIUR</w:t>
      </w:r>
    </w:p>
    <w:p>
      <w:pPr>
        <w:pStyle w:val="Corpodeltesto"/>
        <w:jc w:val="both"/>
        <w:rPr/>
      </w:pPr>
      <w:r>
        <w:rPr/>
        <w:t>Giovedì 6 dicembre 2018 si è tenuto l’incontro d’informativa tra Ministero dell’Istruzione e sindacati</w:t>
      </w:r>
      <w:r>
        <w:rPr>
          <w:rStyle w:val="Enfasiforte"/>
        </w:rPr>
        <w:t> </w:t>
      </w:r>
      <w:r>
        <w:rPr/>
        <w:t xml:space="preserve">sul </w:t>
      </w:r>
      <w:r>
        <w:rPr>
          <w:rStyle w:val="Enfasiforte"/>
        </w:rPr>
        <w:t>concorso ordinario per il profilo DSGA</w:t>
      </w:r>
      <w:r>
        <w:rPr/>
        <w:t>.</w:t>
      </w:r>
    </w:p>
    <w:p>
      <w:pPr>
        <w:pStyle w:val="Corpodeltesto"/>
        <w:jc w:val="both"/>
        <w:rPr/>
      </w:pPr>
      <w:r>
        <w:rPr/>
        <w:t xml:space="preserve">L’Amministrazione ha fatto presente preliminarmente che il </w:t>
      </w:r>
      <w:r>
        <w:rPr>
          <w:rStyle w:val="Enfasiforte"/>
        </w:rPr>
        <w:t>bando va pubblicato entro il mese di dicembre</w:t>
      </w:r>
      <w:r>
        <w:rPr/>
        <w:t>, come disposto dalla finanziaria 2018, e che sono ancora molti gli adempimenti da osservare, compresa la richiesta di parere del CSPI.</w:t>
        <w:br/>
        <w:t>Pertanto si rende necessario avviare immediatamente la procedura d’urgenza per la richiesta del parere, tenuto conto che l’ultima Gazzetta Ufficiale utile è quella del 28 dicembre prossimo.</w:t>
      </w:r>
    </w:p>
    <w:p>
      <w:pPr>
        <w:pStyle w:val="Titolo4"/>
        <w:jc w:val="both"/>
        <w:rPr>
          <w:rFonts w:ascii="Liberation Serif" w:hAnsi="Liberation Serif"/>
        </w:rPr>
      </w:pPr>
      <w:r>
        <w:rPr>
          <w:rFonts w:ascii="Liberation Serif" w:hAnsi="Liberation Serif"/>
        </w:rPr>
        <w:t>I punti salienti del bando</w:t>
      </w:r>
    </w:p>
    <w:p>
      <w:pPr>
        <w:pStyle w:val="Corpodeltesto"/>
        <w:jc w:val="both"/>
        <w:rPr/>
      </w:pPr>
      <w:r>
        <w:rPr>
          <w:rStyle w:val="Enfasiforte"/>
        </w:rPr>
        <w:t xml:space="preserve">I posti messi a concorso sono 2.004 </w:t>
      </w:r>
      <w:r>
        <w:rPr/>
        <w:t>per il triennio 2018/2021.</w:t>
        <w:br/>
        <w:t xml:space="preserve">Possono fare domanda coloro che, oltre ai requisiti generali previsti per l’accesso ai concorsi pubblici, sono in possesso della </w:t>
      </w:r>
      <w:r>
        <w:rPr>
          <w:rStyle w:val="Enfasiforte"/>
        </w:rPr>
        <w:t>laurea specifica</w:t>
      </w:r>
      <w:r>
        <w:rPr/>
        <w:t>, come previsto dalla tabella B allegata al CCNL 2018.</w:t>
        <w:br/>
        <w:t>Sono ammessi al concorso gli assistenti amministrativi facenti funzione di DSGA con almeno</w:t>
      </w:r>
      <w:r>
        <w:rPr>
          <w:rStyle w:val="Enfasiforte"/>
        </w:rPr>
        <w:t xml:space="preserve"> tre incarichi annuali</w:t>
      </w:r>
      <w:r>
        <w:rPr/>
        <w:t>, anche non consecutivi, maturati al 1° gennaio 2018, data di entrata in vigore della legge di bilancio 2018. In quest’ultimo caso si prescinde dal possesso del diploma di laurea.</w:t>
        <w:br/>
      </w:r>
      <w:r>
        <w:rPr>
          <w:rStyle w:val="Enfasiforte"/>
        </w:rPr>
        <w:t xml:space="preserve">Il 20% dei posti è riservato agli interni </w:t>
      </w:r>
      <w:r>
        <w:rPr/>
        <w:t>se in possesso del titolo di laurea specifico.</w:t>
        <w:br/>
        <w:t xml:space="preserve">Le procedure concorsuali, che si svolgono su </w:t>
      </w:r>
      <w:r>
        <w:rPr>
          <w:rStyle w:val="Enfasiforte"/>
        </w:rPr>
        <w:t>base regionale</w:t>
      </w:r>
      <w:r>
        <w:rPr/>
        <w:t xml:space="preserve">, prevedono </w:t>
      </w:r>
      <w:r>
        <w:rPr>
          <w:rStyle w:val="Enfasiforte"/>
        </w:rPr>
        <w:t>una prova scritta</w:t>
      </w:r>
      <w:r>
        <w:rPr/>
        <w:t xml:space="preserve"> e una </w:t>
      </w:r>
      <w:r>
        <w:rPr>
          <w:rStyle w:val="Enfasiforte"/>
        </w:rPr>
        <w:t>prova orale.</w:t>
      </w:r>
      <w:r>
        <w:rPr/>
        <w:br/>
        <w:t xml:space="preserve">Per essere ammessi alla prova scritta i candidati dovranno superare una </w:t>
      </w:r>
      <w:r>
        <w:rPr>
          <w:rStyle w:val="Enfasiforte"/>
        </w:rPr>
        <w:t>prova preselettiva</w:t>
      </w:r>
      <w:r>
        <w:rPr/>
        <w:t>.</w:t>
      </w:r>
    </w:p>
    <w:p>
      <w:pPr>
        <w:pStyle w:val="Corpodeltesto"/>
        <w:jc w:val="both"/>
        <w:rPr/>
      </w:pPr>
      <w:r>
        <w:rPr/>
        <w:t xml:space="preserve">Abbiamo ribadito come l’obiettivo di questa procedura concorsuale, che arriva dopo quasi venti anni dall’istituzione del profilo di Dsga, debba essere innanzitutto </w:t>
      </w:r>
      <w:r>
        <w:rPr>
          <w:rStyle w:val="Enfasiforte"/>
        </w:rPr>
        <w:t>la sistemazione dei circa 600 assistenti amministrativi facenti funzione</w:t>
      </w:r>
      <w:r>
        <w:rPr/>
        <w:t>. Pertanto la bozza del bando, così come illustrata dal Miur, a nostro parere è al di sotto delle aspettative della categoria e delle richieste sindacali, tanto più che non sono state date garanzie sull’effettivo svolgimento di procedure riservate ai facenti funzione.</w:t>
      </w:r>
    </w:p>
    <w:p>
      <w:pPr>
        <w:pStyle w:val="Corpodeltesto"/>
        <w:jc w:val="both"/>
        <w:rPr>
          <w:rFonts w:ascii="Liberation Serif" w:hAnsi="Liberation Serif"/>
        </w:rPr>
      </w:pPr>
      <w:r>
        <w:rPr/>
        <w:t>Nel merito del bando:</w:t>
      </w:r>
    </w:p>
    <w:p>
      <w:pPr>
        <w:pStyle w:val="Corpodeltesto"/>
        <w:numPr>
          <w:ilvl w:val="0"/>
          <w:numId w:val="2"/>
        </w:numPr>
        <w:tabs>
          <w:tab w:val="left" w:pos="0" w:leader="none"/>
        </w:tabs>
        <w:spacing w:before="0" w:after="0"/>
        <w:ind w:left="707" w:hanging="283"/>
        <w:jc w:val="both"/>
        <w:rPr>
          <w:rFonts w:ascii="Liberation Serif" w:hAnsi="Liberation Serif"/>
        </w:rPr>
      </w:pPr>
      <w:r>
        <w:rPr/>
        <w:t xml:space="preserve">la percentuale di riserva va elevata in modo da ricomprendere i 600 facenti funzione; </w:t>
      </w:r>
    </w:p>
    <w:p>
      <w:pPr>
        <w:pStyle w:val="Corpodeltesto"/>
        <w:numPr>
          <w:ilvl w:val="0"/>
          <w:numId w:val="2"/>
        </w:numPr>
        <w:tabs>
          <w:tab w:val="left" w:pos="0" w:leader="none"/>
        </w:tabs>
        <w:spacing w:before="0" w:after="0"/>
        <w:ind w:left="707" w:hanging="283"/>
        <w:jc w:val="both"/>
        <w:rPr>
          <w:rFonts w:ascii="Liberation Serif" w:hAnsi="Liberation Serif"/>
        </w:rPr>
      </w:pPr>
      <w:r>
        <w:rPr/>
        <w:t xml:space="preserve">il requisito dei 3 anni di incarico annuale deve comprendere anche l’a.s. 2017/2018; </w:t>
      </w:r>
    </w:p>
    <w:p>
      <w:pPr>
        <w:pStyle w:val="Corpodeltesto"/>
        <w:numPr>
          <w:ilvl w:val="0"/>
          <w:numId w:val="2"/>
        </w:numPr>
        <w:tabs>
          <w:tab w:val="left" w:pos="0" w:leader="none"/>
        </w:tabs>
        <w:ind w:left="707" w:hanging="283"/>
        <w:jc w:val="both"/>
        <w:rPr>
          <w:rFonts w:ascii="Liberation Serif" w:hAnsi="Liberation Serif"/>
        </w:rPr>
      </w:pPr>
      <w:r>
        <w:rPr/>
        <w:t xml:space="preserve">le materie delle prove d’esame devono essere centrate essenzialmente sugli aspetti teorici e pratici del lavoro quotidiano delle scuole. </w:t>
      </w:r>
    </w:p>
    <w:p>
      <w:pPr>
        <w:pStyle w:val="Corpodeltesto"/>
        <w:jc w:val="both"/>
        <w:rPr/>
      </w:pPr>
      <w:r>
        <w:rPr/>
        <w:t>Abbiamo sottolineato come, in mancanza di tali aperture, soprattutto per quello che riguarda le procedure riservate ai facenti funzione, sarebbe inevitabile l’avvio di un contenzioso a tutela degli interessati.</w:t>
      </w:r>
    </w:p>
    <w:p>
      <w:pPr>
        <w:pStyle w:val="Titolo1"/>
        <w:jc w:val="both"/>
        <w:rPr>
          <w:b/>
          <w:b/>
          <w:bCs/>
          <w:sz w:val="36"/>
          <w:szCs w:val="36"/>
        </w:rPr>
      </w:pPr>
      <w:r>
        <w:rPr>
          <w:rFonts w:ascii="Liberation Serif" w:hAnsi="Liberation Serif"/>
          <w:b/>
          <w:bCs/>
          <w:sz w:val="36"/>
          <w:szCs w:val="36"/>
        </w:rPr>
        <w:t>Stabilizzazione del personale della scuola: la proposta della FLC CGIL</w:t>
      </w:r>
    </w:p>
    <w:p>
      <w:pPr>
        <w:pStyle w:val="Corpodeltesto"/>
        <w:jc w:val="both"/>
        <w:rPr/>
      </w:pPr>
      <w:r>
        <w:rPr/>
        <w:t>In questo anno scolastico 2018-19, più che in passato, il normale avvio delle lezioni è stato fortemente penalizzato dall’</w:t>
      </w:r>
      <w:r>
        <w:rPr>
          <w:rStyle w:val="Enfasiforte"/>
        </w:rPr>
        <w:t>assenza di politiche efficaci in materia di reclutamento</w:t>
      </w:r>
      <w:r>
        <w:rPr/>
        <w:t xml:space="preserve">. Meccanismi di accesso ai ruoli farraginosi e lunghi, vertenze ancora pendenti e irrisolte, procedure concorsuali il cui espletamento si protrae per anni, </w:t>
      </w:r>
      <w:r>
        <w:rPr>
          <w:rStyle w:val="Enfasiforte"/>
        </w:rPr>
        <w:t>ci consegnano una situazione ingovernabile, con più di 90.000 cattedre libere</w:t>
      </w:r>
      <w:r>
        <w:rPr/>
        <w:t xml:space="preserve"> non assegnate ai ruoli e le scuole che hanno dovuto sopperire a questa mancanza con un sovraccarico di lavoro amministrativo legato alle nomine dalle graduatorie d’istituto.</w:t>
      </w:r>
    </w:p>
    <w:p>
      <w:pPr>
        <w:pStyle w:val="Corpodeltesto"/>
        <w:jc w:val="both"/>
        <w:rPr/>
      </w:pPr>
      <w:r>
        <w:rPr/>
        <w:t xml:space="preserve">Il personale ATA, compreso quello che ricopre ruoli in segreteria, non ha avuto maggiore fortuna: con oltre </w:t>
      </w:r>
      <w:r>
        <w:rPr>
          <w:rStyle w:val="Enfasiforte"/>
        </w:rPr>
        <w:t>13.000 posti non coperti da personale di ruolo</w:t>
      </w:r>
      <w:r>
        <w:rPr/>
        <w:t xml:space="preserve"> e organici al di sotto delle reali necessità le scuole vivono una condizione di disagio quotidiano.</w:t>
      </w:r>
    </w:p>
    <w:p>
      <w:pPr>
        <w:pStyle w:val="Corpodeltesto"/>
        <w:jc w:val="both"/>
        <w:rPr/>
      </w:pPr>
      <w:r>
        <w:rPr/>
        <w:t>Dati poco rassicuranti anche sul personale educativo, in un contesto in cui cresce la domanda sociale di accesso a convitti ed educandati, mentre si riduce il numero del personale assunto a tempo indeterminato.</w:t>
      </w:r>
    </w:p>
    <w:p>
      <w:pPr>
        <w:pStyle w:val="Corpodeltesto"/>
        <w:jc w:val="both"/>
        <w:rPr/>
      </w:pPr>
      <w:r>
        <w:rPr/>
        <w:t> “</w:t>
      </w:r>
      <w:r>
        <w:rPr/>
        <w:t xml:space="preserve">Sulla base dei dati a disposizione al termine delle operazioni di nomina in ruolo e di supplenza annuale – ha dichiarato </w:t>
      </w:r>
      <w:r>
        <w:rPr>
          <w:rStyle w:val="Enfasiforte"/>
        </w:rPr>
        <w:t>Francesco Sinopoli</w:t>
      </w:r>
      <w:r>
        <w:rPr/>
        <w:t xml:space="preserve"> - risultano non assegnati oltre 114.000 posti fra docenti, educatori e ATA (la situazione più instabile è quella dei docenti per i quali sono ben 90.000 i posti in organico di diritto e fatto destinati a supplenza da graduatoria d’Istituto).”</w:t>
      </w:r>
    </w:p>
    <w:p>
      <w:pPr>
        <w:pStyle w:val="Corpodeltesto"/>
        <w:jc w:val="both"/>
        <w:rPr/>
      </w:pPr>
      <w:r>
        <w:rPr/>
      </w:r>
    </w:p>
    <w:p>
      <w:pPr>
        <w:pStyle w:val="Corpodeltesto"/>
        <w:jc w:val="both"/>
        <w:rPr/>
      </w:pPr>
      <w:r>
        <w:rPr/>
        <w:tab/>
        <w:tab/>
        <w:tab/>
        <w:tab/>
        <w:tab/>
        <w:tab/>
        <w:tab/>
        <w:tab/>
        <w:tab/>
        <w:t xml:space="preserve">per la segreteria Flc Cgil </w:t>
      </w:r>
    </w:p>
    <w:p>
      <w:pPr>
        <w:pStyle w:val="Corpodeltesto"/>
        <w:jc w:val="both"/>
        <w:rPr/>
      </w:pPr>
      <w:r>
        <w:rPr/>
        <w:tab/>
        <w:tab/>
        <w:tab/>
        <w:tab/>
        <w:tab/>
        <w:tab/>
        <w:tab/>
        <w:tab/>
        <w:tab/>
        <w:t>Marco Puppini</w:t>
      </w:r>
    </w:p>
    <w:p>
      <w:pPr>
        <w:pStyle w:val="Corpodeltesto"/>
        <w:spacing w:before="0" w:after="140"/>
        <w:jc w:val="both"/>
        <w:rPr/>
      </w:pPr>
      <w:r>
        <w:rPr/>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Bookman Old Style">
    <w:charset w:val="01"/>
    <w:family w:val="roman"/>
    <w:pitch w:val="variable"/>
  </w:font>
  <w:font w:name="Verdana">
    <w:charset w:val="01"/>
    <w:family w:val="roman"/>
    <w:pitch w:val="variable"/>
  </w:font>
  <w:font w:name="Comic Sans MS">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0"/>
        <w:szCs w:val="24"/>
        <w:lang w:val="it-IT"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Noto Sans CJK SC Regular" w:cs="FreeSans"/>
      <w:color w:val="00000A"/>
      <w:sz w:val="24"/>
      <w:szCs w:val="24"/>
      <w:lang w:val="it-IT" w:eastAsia="zh-CN" w:bidi="hi-IN"/>
    </w:rPr>
  </w:style>
  <w:style w:type="paragraph" w:styleId="Titolo1">
    <w:name w:val="Heading 1"/>
    <w:basedOn w:val="Titolo"/>
    <w:qFormat/>
    <w:pPr/>
    <w:rPr/>
  </w:style>
  <w:style w:type="paragraph" w:styleId="Titolo2">
    <w:name w:val="Heading 2"/>
    <w:basedOn w:val="Titolo"/>
    <w:qFormat/>
    <w:pPr>
      <w:spacing w:before="200" w:after="120"/>
      <w:outlineLvl w:val="1"/>
    </w:pPr>
    <w:rPr>
      <w:rFonts w:ascii="Liberation Serif" w:hAnsi="Liberation Serif" w:eastAsia="Noto Sans CJK SC Regular" w:cs="FreeSans"/>
      <w:b/>
      <w:bCs/>
      <w:sz w:val="36"/>
      <w:szCs w:val="36"/>
    </w:rPr>
  </w:style>
  <w:style w:type="paragraph" w:styleId="Titolo4">
    <w:name w:val="Heading 4"/>
    <w:basedOn w:val="Titolo"/>
    <w:qFormat/>
    <w:pPr/>
    <w:rPr/>
  </w:style>
  <w:style w:type="paragraph" w:styleId="Titolo5">
    <w:name w:val="Heading 5"/>
    <w:basedOn w:val="Titolo"/>
    <w:qFormat/>
    <w:pPr/>
    <w:rPr/>
  </w:style>
  <w:style w:type="character" w:styleId="Enfasiforte">
    <w:name w:val="Enfasi forte"/>
    <w:qFormat/>
    <w:rPr>
      <w:b/>
      <w:bCs/>
    </w:rPr>
  </w:style>
  <w:style w:type="character" w:styleId="Caratteredinumerazione">
    <w:name w:val="Carattere di numerazione"/>
    <w:qFormat/>
    <w:rPr/>
  </w:style>
  <w:style w:type="character" w:styleId="CollegamentoInternet">
    <w:name w:val="Collegamento Internet"/>
    <w:rPr>
      <w:color w:val="000080"/>
      <w:u w:val="single"/>
      <w:lang w:val="zxx" w:eastAsia="zxx" w:bidi="zxx"/>
    </w:rPr>
  </w:style>
  <w:style w:type="character" w:styleId="Punti">
    <w:name w:val="Punti"/>
    <w:qFormat/>
    <w:rPr>
      <w:rFonts w:ascii="OpenSymbol" w:hAnsi="OpenSymbol" w:eastAsia="OpenSymbol" w:cs="OpenSymbol"/>
    </w:rPr>
  </w:style>
  <w:style w:type="character" w:styleId="ListLabel1">
    <w:name w:val="ListLabel 1"/>
    <w:qFormat/>
    <w:rPr>
      <w:rFonts w:ascii="Liberation Serif" w:hAnsi="Liberation Serif" w:cs="OpenSymbol"/>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paragraph" w:styleId="Titolo">
    <w:name w:val="Titolo"/>
    <w:basedOn w:val="Normal"/>
    <w:next w:val="Corpodeltesto"/>
    <w:qFormat/>
    <w:pPr>
      <w:keepNext/>
      <w:spacing w:before="240" w:after="120"/>
    </w:pPr>
    <w:rPr>
      <w:rFonts w:ascii="Liberation Sans" w:hAnsi="Liberation Sans" w:eastAsia="Noto Sans CJK SC Regular" w:cs="FreeSans"/>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FreeSans"/>
    </w:rPr>
  </w:style>
  <w:style w:type="paragraph" w:styleId="Didascalia">
    <w:name w:val="Caption"/>
    <w:basedOn w:val="Normal"/>
    <w:qFormat/>
    <w:pPr>
      <w:suppressLineNumbers/>
      <w:spacing w:before="120" w:after="120"/>
    </w:pPr>
    <w:rPr>
      <w:rFonts w:cs="FreeSans"/>
      <w:i/>
      <w:iCs/>
      <w:sz w:val="24"/>
      <w:szCs w:val="24"/>
    </w:rPr>
  </w:style>
  <w:style w:type="paragraph" w:styleId="Indice">
    <w:name w:val="Indice"/>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47</TotalTime>
  <Application>LibreOffice/5.1.6.2$Linux_x86 LibreOffice_project/10m0$Build-2</Application>
  <Pages>3</Pages>
  <Words>896</Words>
  <Characters>5150</Characters>
  <CharactersWithSpaces>6050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2018-12-04T21:02:56Z</dcterms:created>
  <dc:creator/>
  <dc:description/>
  <dc:language>it-IT</dc:language>
  <cp:lastModifiedBy/>
  <dcterms:modified xsi:type="dcterms:W3CDTF">2018-12-11T15:41:54Z</dcterms:modified>
  <cp:revision>7</cp:revision>
  <dc:subject/>
  <dc:title/>
</cp:coreProperties>
</file>